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>
      <w:pPr/>
      <w:r>
        <w:rPr>
          <w:rFonts w:ascii="Calibri" w:hAnsi="Calibri" w:eastAsia="Calibri" w:cs="Calibri"/>
          <w:sz w:val="22"/>
          <w:szCs w:val="22"/>
          <w:b w:val="1"/>
          <w:bCs w:val="1"/>
        </w:rPr>
        <w:t xml:space="preserve">Wasserdichter Unterputzkasten für TEMPOFLUX 3 WC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Für Selbstschluss-Druckspüler für WC - Set 1/2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Unterputzmontage, variabel, wasserdicht</w:t>
      </w:r>
    </w:p>
    <w:p/>
    <w:p>
      <w:pPr/>
      <w:r>
        <w:rPr>
          <w:rFonts w:ascii="Calibri" w:hAnsi="Calibri" w:eastAsia="Calibri" w:cs="Calibri"/>
          <w:sz w:val="22"/>
          <w:szCs w:val="22"/>
        </w:rPr>
        <w:t xml:space="preserve">Artikelnummer: </w:t>
      </w:r>
      <w:r>
        <w:rPr>
          <w:rFonts w:ascii="Calibri" w:hAnsi="Calibri" w:eastAsia="Calibri" w:cs="Calibri"/>
          <w:color w:val="0088bc"/>
          <w:sz w:val="22"/>
          <w:szCs w:val="22"/>
          <w:b w:val="1"/>
          <w:bCs w:val="1"/>
        </w:rPr>
        <w:t xml:space="preserve">763BOX</w:t>
      </w:r>
    </w:p>
    <w:p/>
    <w:p/>
    <w:p>
      <w:pPr>
        <w:spacing w:line="336" w:lineRule="auto"/>
      </w:pPr>
      <w:r>
        <w:rPr>
          <w:rFonts w:ascii="Calibri" w:hAnsi="Calibri" w:eastAsia="Calibri" w:cs="Calibri"/>
          <w:sz w:val="22"/>
          <w:szCs w:val="22"/>
          <w:u w:val="single"/>
        </w:rPr>
        <w:t xml:space="preserve">Ausschreibungstext</w:t>
      </w:r>
    </w:p>
    <w:p/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Wasserdichter Unterputzkasten, Set 1/2 (Rohbauset):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für Druckspülsystem ohne Spülkasten.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Geeignet für Selbstschluss-Spülarmatur für WC.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Flansch mit integrierter Dichtung.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Wasseranschluss außerhalb des Kastens und Wartung von vorne.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Flexible Installation (Ständerwand, Massivwand, Paneel).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Geeignet für Wandstärken von 10 bis 120 mm (die Einbautiefe des Unterputzkastens beträgt mindestens 93 mm).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Anpassbar an Standard- oder „Pipe-in-pipe“-Rohrleitungen.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Vorabsperrung mit Durchflussmengeneinstellung, Auslösemodul und Kartusche integriert und von vorne zugänglich.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Rohrunterbrecher im Inneren des Unterputzkastens.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Bauteile während Spülung der Rohrleitungen geschützt.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Abgang mit Steckmuffe für PVC-Rohr Ø 26/32.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30 Jahre Garantie.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/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Mit Betätigungsplatten Artikelnummern 763000, 763040, 763041 oder 763030 bestellen.</w:t>
      </w:r>
    </w:p>
    <w:sectPr>
      <w:headerReference w:type="default" r:id="rId7"/>
      <w:pgSz w:orient="portrait" w:w="11905.511811023622" w:h="16837.79527559055"/>
      <w:pgMar w:top="1200" w:right="1500" w:bottom="1000" w:left="145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pict>
        <v:shape type="#_x0000_t75" stroked="f" style="width:115pt; height:18.662280701754pt; margin-left:0pt; margin-top:0pt; mso-position-horizontal:left; mso-position-vertical:absolute; mso-position-horizontal-relative:char; mso-position-vertical-relative:line;">
          <w10:wrap type="inline"/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color w:val="438fac"/>
      <w:sz w:val="36"/>
      <w:szCs w:val="36"/>
      <w:b w:val="1"/>
      <w:bCs w:val="1"/>
    </w:rPr>
  </w:style>
  <w:style w:type="paragraph" w:styleId="Heading2">
    <w:link w:val="Heading2Char"/>
    <w:name w:val="heading 2"/>
    <w:rPr>
      <w:color w:val="222222"/>
      <w:sz w:val="32"/>
      <w:szCs w:val="32"/>
      <w:b w:val="1"/>
      <w:bCs w:val="1"/>
    </w:rPr>
  </w:style>
  <w:style w:type="paragraph" w:styleId="Heading3">
    <w:link w:val="Heading3Char"/>
    <w:name w:val="heading 3"/>
    <w:rPr>
      <w:color w:val="222222"/>
      <w:sz w:val="28"/>
      <w:szCs w:val="28"/>
      <w:b w:val="0"/>
      <w:bCs w:val="0"/>
    </w:rPr>
  </w:style>
  <w:style w:type="paragraph" w:styleId="Heading4">
    <w:link w:val="Heading4Char"/>
    <w:name w:val="heading 4"/>
    <w:rPr>
      <w:color w:val="438fac"/>
      <w:sz w:val="26"/>
      <w:szCs w:val="26"/>
      <w:b w:val="1"/>
      <w:bCs w:val="1"/>
    </w:rPr>
  </w:style>
  <w:style w:type="paragraph" w:styleId="Heading5">
    <w:link w:val="Heading5Char"/>
    <w:name w:val="heading 5"/>
    <w:rPr>
      <w:color w:val="111111"/>
      <w:sz w:val="40"/>
      <w:szCs w:val="40"/>
      <w:b w:val="1"/>
      <w:bCs w:val="1"/>
    </w:rPr>
  </w:style>
  <w:style w:type="table" w:customStyle="1" w:styleId="TechSheet">
    <w:name w:val="TechSheet"/>
    <w:uiPriority w:val="99"/>
    <w:tblPr>
      <w:tblW w:w="0" w:type="auto"/>
      <w:tblLayout w:type="autofit"/>
      <w:bidiVisual w:val="0"/>
      <w:tblBorders>
        <w:top w:val="single" w:sz="0" w:color="ffffff"/>
        <w:left w:val="single" w:sz="0" w:color="ffffff"/>
        <w:right w:val="single" w:sz="0" w:color="ffffff"/>
        <w:bottom w:val="single" w:sz="1" w:color="999999"/>
      </w:tblBorders>
    </w:tblPr>
  </w:style>
  <w:style w:type="paragraph" w:customStyle="1" w:styleId="pStyle">
    <w:name w:val="pStyle"/>
    <w:basedOn w:val="Normal"/>
    <w:pPr>
      <w:spacing w:line="3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header1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2026-11-08T12:18:29+01:00</dcterms:created>
  <dcterms:modified xsi:type="dcterms:W3CDTF">2026-11-08T12:18:29+01:00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